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bidi w:val="0"/>
        <w:spacing w:before="0" w:beforeAutospacing="0" w:after="0" w:afterAutospacing="0" w:line="540" w:lineRule="exact"/>
        <w:jc w:val="right"/>
        <w:rPr>
          <w:rFonts w:ascii="Times New Roman" w:hAnsi="Times New Roman" w:eastAsia="仿宋_GB2312" w:cs="Times New Roman"/>
          <w:sz w:val="32"/>
          <w:szCs w:val="32"/>
        </w:rPr>
      </w:pPr>
    </w:p>
    <w:p>
      <w:pPr>
        <w:pStyle w:val="11"/>
        <w:keepNext w:val="0"/>
        <w:keepLines w:val="0"/>
        <w:pageBreakBefore w:val="0"/>
        <w:kinsoku/>
        <w:wordWrap/>
        <w:overflowPunct/>
        <w:topLinePunct w:val="0"/>
        <w:bidi w:val="0"/>
        <w:spacing w:before="0" w:beforeAutospacing="0" w:after="0" w:afterAutospacing="0" w:line="540" w:lineRule="exact"/>
        <w:jc w:val="right"/>
        <w:rPr>
          <w:rFonts w:ascii="Times New Roman" w:hAnsi="Times New Roman" w:eastAsia="仿宋_GB2312" w:cs="Times New Roman"/>
          <w:sz w:val="32"/>
          <w:szCs w:val="32"/>
        </w:rPr>
      </w:pPr>
    </w:p>
    <w:p>
      <w:pPr>
        <w:pStyle w:val="11"/>
        <w:keepNext w:val="0"/>
        <w:keepLines w:val="0"/>
        <w:pageBreakBefore w:val="0"/>
        <w:kinsoku/>
        <w:wordWrap/>
        <w:overflowPunct/>
        <w:topLinePunct w:val="0"/>
        <w:bidi w:val="0"/>
        <w:spacing w:before="0" w:beforeAutospacing="0" w:after="0" w:afterAutospacing="0" w:line="54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连环表复〔202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40X</w:t>
      </w:r>
      <w:bookmarkStart w:id="2" w:name="_GoBack"/>
      <w:bookmarkEnd w:id="2"/>
      <w:r>
        <w:rPr>
          <w:rFonts w:hint="eastAsia" w:ascii="Times New Roman" w:hAnsi="Times New Roman" w:eastAsia="仿宋_GB2312" w:cs="Times New Roman"/>
          <w:sz w:val="32"/>
          <w:szCs w:val="32"/>
          <w:lang w:val="en-US" w:eastAsia="zh-CN"/>
        </w:rPr>
        <w:t>X</w:t>
      </w:r>
      <w:r>
        <w:rPr>
          <w:rFonts w:ascii="Times New Roman" w:hAnsi="Times New Roman" w:eastAsia="仿宋_GB2312" w:cs="Times New Roman"/>
          <w:sz w:val="32"/>
          <w:szCs w:val="32"/>
        </w:rPr>
        <w:t>号</w:t>
      </w:r>
    </w:p>
    <w:p>
      <w:pPr>
        <w:keepNext w:val="0"/>
        <w:keepLines w:val="0"/>
        <w:pageBreakBefore w:val="0"/>
        <w:widowControl/>
        <w:kinsoku/>
        <w:wordWrap/>
        <w:overflowPunct/>
        <w:topLinePunct w:val="0"/>
        <w:bidi w:val="0"/>
        <w:adjustRightInd/>
        <w:spacing w:line="540" w:lineRule="exact"/>
        <w:jc w:val="center"/>
        <w:rPr>
          <w:rFonts w:hint="eastAsia" w:eastAsia="方正小标宋_GBK"/>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对</w:t>
      </w:r>
      <w:bookmarkStart w:id="0" w:name="_Hlk118128561"/>
      <w:r>
        <w:rPr>
          <w:rFonts w:hint="eastAsia" w:ascii="方正小标宋_GBK" w:hAnsi="方正小标宋_GBK" w:eastAsia="方正小标宋_GBK" w:cs="方正小标宋_GBK"/>
          <w:sz w:val="44"/>
          <w:szCs w:val="44"/>
          <w:lang w:eastAsia="zh-CN"/>
        </w:rPr>
        <w:t>华电江苏赣榆光伏有限公司</w:t>
      </w:r>
      <w:bookmarkEnd w:id="0"/>
      <w:bookmarkStart w:id="1" w:name="_Hlk121147175"/>
      <w:r>
        <w:rPr>
          <w:rFonts w:hint="eastAsia" w:ascii="方正小标宋_GBK" w:hAnsi="方正小标宋_GBK" w:eastAsia="方正小标宋_GBK" w:cs="方正小标宋_GBK"/>
          <w:sz w:val="44"/>
          <w:szCs w:val="44"/>
          <w:lang w:eastAsia="zh-CN"/>
        </w:rPr>
        <w:t>江苏华电</w:t>
      </w:r>
    </w:p>
    <w:p>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赣榆墩尚276MW渔光互补光伏发电项目</w:t>
      </w:r>
      <w:bookmarkEnd w:id="1"/>
    </w:p>
    <w:p>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eastAsia="zh-CN"/>
        </w:rPr>
        <w:t>环境影响</w:t>
      </w:r>
      <w:r>
        <w:rPr>
          <w:rFonts w:hint="eastAsia" w:ascii="方正小标宋_GBK" w:hAnsi="方正小标宋_GBK" w:eastAsia="方正小标宋_GBK" w:cs="方正小标宋_GBK"/>
          <w:sz w:val="44"/>
          <w:szCs w:val="44"/>
        </w:rPr>
        <w:t>报告表的批复</w:t>
      </w:r>
    </w:p>
    <w:p>
      <w:pPr>
        <w:keepNext w:val="0"/>
        <w:keepLines w:val="0"/>
        <w:pageBreakBefore w:val="0"/>
        <w:kinsoku/>
        <w:wordWrap/>
        <w:overflowPunct/>
        <w:topLinePunct w:val="0"/>
        <w:bidi w:val="0"/>
        <w:spacing w:line="540" w:lineRule="exact"/>
        <w:rPr>
          <w:szCs w:val="32"/>
        </w:rPr>
      </w:pPr>
    </w:p>
    <w:p>
      <w:pPr>
        <w:keepNext w:val="0"/>
        <w:keepLines w:val="0"/>
        <w:pageBreakBefore w:val="0"/>
        <w:widowControl/>
        <w:suppressLineNumbers w:val="0"/>
        <w:kinsoku/>
        <w:wordWrap/>
        <w:overflowPunct/>
        <w:topLinePunct w:val="0"/>
        <w:autoSpaceDE/>
        <w:autoSpaceDN/>
        <w:bidi w:val="0"/>
        <w:adjustRightInd w:val="0"/>
        <w:spacing w:line="540" w:lineRule="exact"/>
        <w:jc w:val="lef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华电江苏赣榆光伏有限公司：</w:t>
      </w:r>
    </w:p>
    <w:p>
      <w:pPr>
        <w:pStyle w:val="13"/>
        <w:keepNext w:val="0"/>
        <w:keepLines w:val="0"/>
        <w:pageBreakBefore w:val="0"/>
        <w:widowControl w:val="0"/>
        <w:kinsoku/>
        <w:wordWrap/>
        <w:overflowPunct/>
        <w:topLinePunct w:val="0"/>
        <w:autoSpaceDE/>
        <w:autoSpaceDN/>
        <w:bidi w:val="0"/>
        <w:adjustRightInd w:val="0"/>
        <w:snapToGrid w:val="0"/>
        <w:spacing w:line="540" w:lineRule="exact"/>
        <w:ind w:firstLine="482"/>
        <w:textAlignment w:val="auto"/>
        <w:rPr>
          <w:bCs/>
          <w:szCs w:val="32"/>
          <w:lang w:val="en-US"/>
        </w:rPr>
      </w:pPr>
      <w:r>
        <w:rPr>
          <w:bCs/>
          <w:szCs w:val="32"/>
        </w:rPr>
        <w:t>你</w:t>
      </w:r>
      <w:r>
        <w:rPr>
          <w:bCs/>
          <w:szCs w:val="32"/>
          <w:lang w:val="en-US"/>
        </w:rPr>
        <w:t>公司报</w:t>
      </w:r>
      <w:r>
        <w:rPr>
          <w:rFonts w:hint="eastAsia" w:ascii="Times New Roman" w:hAnsi="Times New Roman" w:cs="Times New Roman"/>
          <w:bCs/>
          <w:szCs w:val="32"/>
          <w:lang w:val="en-US" w:eastAsia="zh-CN"/>
        </w:rPr>
        <w:t>送</w:t>
      </w:r>
      <w:r>
        <w:rPr>
          <w:rFonts w:hint="eastAsia" w:ascii="Times New Roman" w:hAnsi="Times New Roman" w:eastAsia="仿宋_GB2312" w:cs="Times New Roman"/>
          <w:bCs/>
          <w:kern w:val="2"/>
          <w:sz w:val="32"/>
          <w:szCs w:val="32"/>
          <w:lang w:val="en-US" w:eastAsia="zh-CN" w:bidi="ar-SA"/>
        </w:rPr>
        <w:t>的《华电江苏赣榆光伏有限公司江苏华电赣榆墩尚276MW渔光互补光伏发电项目环境影响报告表》（项目代码：2207-320707-89-01-339383，以下简称《报告表》）收悉，经研究，批复</w:t>
      </w:r>
      <w:r>
        <w:rPr>
          <w:rFonts w:hint="eastAsia" w:ascii="Times New Roman" w:hAnsi="Times New Roman" w:cs="Times New Roman"/>
          <w:bCs/>
          <w:szCs w:val="32"/>
          <w:lang w:val="en-US" w:eastAsia="zh-CN"/>
        </w:rPr>
        <w:t>如</w:t>
      </w:r>
      <w:r>
        <w:rPr>
          <w:bCs/>
          <w:szCs w:val="32"/>
          <w:lang w:val="en-US"/>
        </w:rPr>
        <w:t>下：</w:t>
      </w:r>
    </w:p>
    <w:p>
      <w:pPr>
        <w:pStyle w:val="13"/>
        <w:keepNext w:val="0"/>
        <w:keepLines w:val="0"/>
        <w:pageBreakBefore w:val="0"/>
        <w:widowControl w:val="0"/>
        <w:kinsoku/>
        <w:wordWrap/>
        <w:overflowPunct/>
        <w:topLinePunct w:val="0"/>
        <w:autoSpaceDE/>
        <w:autoSpaceDN/>
        <w:bidi w:val="0"/>
        <w:adjustRightInd w:val="0"/>
        <w:snapToGrid w:val="0"/>
        <w:spacing w:line="540" w:lineRule="exact"/>
        <w:ind w:firstLine="482"/>
        <w:jc w:val="left"/>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一、项目为新建。项目选址位于江苏省连云港市赣榆（区）墩尚镇，建设用地面积为6627387.92m</w:t>
      </w:r>
      <w:r>
        <w:rPr>
          <w:rFonts w:hint="eastAsia" w:ascii="Times New Roman" w:hAnsi="Times New Roman" w:eastAsia="仿宋_GB2312" w:cs="Times New Roman"/>
          <w:bCs/>
          <w:kern w:val="2"/>
          <w:sz w:val="32"/>
          <w:szCs w:val="32"/>
          <w:vertAlign w:val="superscript"/>
          <w:lang w:val="en-US" w:eastAsia="zh-CN" w:bidi="ar-SA"/>
        </w:rPr>
        <w:t>2</w:t>
      </w:r>
      <w:r>
        <w:rPr>
          <w:rFonts w:hint="eastAsia" w:ascii="Times New Roman" w:hAnsi="Times New Roman" w:eastAsia="仿宋_GB2312" w:cs="Times New Roman"/>
          <w:bCs/>
          <w:kern w:val="2"/>
          <w:sz w:val="32"/>
          <w:szCs w:val="32"/>
          <w:lang w:val="en-US" w:eastAsia="zh-CN" w:bidi="ar-SA"/>
        </w:rPr>
        <w:t>，均为养殖区内渔塘土地。总投资161347.85万元</w:t>
      </w:r>
      <w:r>
        <w:rPr>
          <w:rFonts w:hint="eastAsia" w:ascii="Times New Roman" w:hAnsi="Times New Roman" w:eastAsia="仿宋_GB2312" w:cs="Times New Roman"/>
          <w:bCs/>
          <w:kern w:val="2"/>
          <w:sz w:val="32"/>
          <w:szCs w:val="32"/>
          <w:lang w:val="en-GB" w:eastAsia="zh-CN" w:bidi="ar-SA"/>
        </w:rPr>
        <w:t>，其中环保投资</w:t>
      </w:r>
      <w:r>
        <w:rPr>
          <w:rFonts w:hint="eastAsia" w:ascii="Times New Roman" w:hAnsi="Times New Roman" w:eastAsia="仿宋_GB2312" w:cs="Times New Roman"/>
          <w:bCs/>
          <w:kern w:val="2"/>
          <w:sz w:val="32"/>
          <w:szCs w:val="32"/>
          <w:lang w:val="en-US" w:eastAsia="zh-CN" w:bidi="ar-SA"/>
        </w:rPr>
        <w:t>为150</w:t>
      </w:r>
      <w:r>
        <w:rPr>
          <w:rFonts w:hint="eastAsia" w:ascii="Times New Roman" w:hAnsi="Times New Roman" w:eastAsia="仿宋_GB2312" w:cs="Times New Roman"/>
          <w:bCs/>
          <w:kern w:val="2"/>
          <w:sz w:val="32"/>
          <w:szCs w:val="32"/>
          <w:lang w:val="en-GB" w:eastAsia="zh-CN" w:bidi="ar-SA"/>
        </w:rPr>
        <w:t>万元</w:t>
      </w:r>
      <w:r>
        <w:rPr>
          <w:rFonts w:hint="eastAsia" w:ascii="Times New Roman" w:hAnsi="Times New Roman" w:eastAsia="仿宋_GB2312" w:cs="Times New Roman"/>
          <w:bCs/>
          <w:kern w:val="2"/>
          <w:sz w:val="32"/>
          <w:szCs w:val="32"/>
          <w:lang w:val="en-US" w:eastAsia="zh-CN" w:bidi="ar-SA"/>
        </w:rPr>
        <w:t>。</w:t>
      </w:r>
      <w:r>
        <w:rPr>
          <w:rFonts w:hint="eastAsia" w:eastAsia="仿宋_GB2312" w:cs="Times New Roman"/>
          <w:bCs/>
          <w:kern w:val="2"/>
          <w:sz w:val="32"/>
          <w:szCs w:val="32"/>
          <w:lang w:val="en-US" w:eastAsia="zh-CN" w:bidi="ar-SA"/>
        </w:rPr>
        <w:t>光伏电站由光伏阵列（</w:t>
      </w:r>
      <w:r>
        <w:rPr>
          <w:rFonts w:eastAsia="仿宋_GB2312"/>
          <w:szCs w:val="21"/>
        </w:rPr>
        <w:t>总装设385.8075MWp光伏组件</w:t>
      </w:r>
      <w:r>
        <w:rPr>
          <w:rFonts w:hint="eastAsia" w:eastAsia="仿宋_GB2312"/>
          <w:szCs w:val="21"/>
          <w:lang w:eastAsia="zh-CN"/>
        </w:rPr>
        <w:t>，</w:t>
      </w:r>
      <w:r>
        <w:rPr>
          <w:rFonts w:eastAsia="仿宋_GB2312"/>
          <w:szCs w:val="21"/>
        </w:rPr>
        <w:t>64个光伏子系统</w:t>
      </w:r>
      <w:r>
        <w:rPr>
          <w:rFonts w:hint="eastAsia" w:eastAsia="仿宋_GB2312" w:cs="Times New Roman"/>
          <w:bCs/>
          <w:kern w:val="2"/>
          <w:sz w:val="32"/>
          <w:szCs w:val="32"/>
          <w:lang w:val="en-US" w:eastAsia="zh-CN" w:bidi="ar-SA"/>
        </w:rPr>
        <w:t>）、逆变、箱变系统（</w:t>
      </w:r>
      <w:r>
        <w:rPr>
          <w:rFonts w:eastAsia="仿宋_GB2312"/>
          <w:szCs w:val="21"/>
        </w:rPr>
        <w:t>采用320kW组串式逆变器，每23个组串接入一台320kW组串式逆变器，14/10/7台320kW逆变接入1台4500/3200/2500kVA箱式变压器</w:t>
      </w:r>
      <w:r>
        <w:rPr>
          <w:rFonts w:hint="eastAsia" w:eastAsia="仿宋_GB2312"/>
          <w:szCs w:val="21"/>
          <w:lang w:eastAsia="zh-CN"/>
        </w:rPr>
        <w:t>）</w:t>
      </w:r>
      <w:r>
        <w:rPr>
          <w:rFonts w:hint="eastAsia" w:eastAsia="仿宋_GB2312" w:cs="Times New Roman"/>
          <w:bCs/>
          <w:kern w:val="2"/>
          <w:sz w:val="32"/>
          <w:szCs w:val="32"/>
          <w:lang w:val="en-US" w:eastAsia="zh-CN" w:bidi="ar-SA"/>
        </w:rPr>
        <w:t>、集电线路（</w:t>
      </w:r>
      <w:r>
        <w:rPr>
          <w:rFonts w:eastAsia="仿宋_GB2312"/>
          <w:szCs w:val="21"/>
        </w:rPr>
        <w:t>采用电缆桥架+电缆直埋的方式</w:t>
      </w:r>
      <w:r>
        <w:rPr>
          <w:rFonts w:hint="eastAsia" w:eastAsia="仿宋_GB2312"/>
          <w:szCs w:val="21"/>
          <w:lang w:eastAsia="zh-CN"/>
        </w:rPr>
        <w:t>）</w:t>
      </w:r>
      <w:r>
        <w:rPr>
          <w:rFonts w:hint="eastAsia" w:eastAsia="仿宋_GB2312" w:cs="Times New Roman"/>
          <w:bCs/>
          <w:kern w:val="2"/>
          <w:sz w:val="32"/>
          <w:szCs w:val="32"/>
          <w:lang w:val="en-US" w:eastAsia="zh-CN" w:bidi="ar-SA"/>
        </w:rPr>
        <w:t>、升压站（</w:t>
      </w:r>
      <w:r>
        <w:rPr>
          <w:rFonts w:eastAsia="仿宋_GB2312"/>
          <w:szCs w:val="21"/>
        </w:rPr>
        <w:t>新建1座110kV升压站、1座35kV开关站，同时对场区北部华电原110kV升压站进行扩建</w:t>
      </w:r>
      <w:r>
        <w:rPr>
          <w:rFonts w:hint="eastAsia" w:eastAsia="仿宋_GB2312"/>
          <w:szCs w:val="21"/>
          <w:lang w:eastAsia="zh-CN"/>
        </w:rPr>
        <w:t>）</w:t>
      </w:r>
      <w:r>
        <w:rPr>
          <w:rFonts w:hint="eastAsia" w:eastAsia="仿宋_GB2312" w:cs="Times New Roman"/>
          <w:bCs/>
          <w:kern w:val="2"/>
          <w:sz w:val="32"/>
          <w:szCs w:val="32"/>
          <w:lang w:val="en-US" w:eastAsia="zh-CN" w:bidi="ar-SA"/>
        </w:rPr>
        <w:t>组成。</w:t>
      </w:r>
      <w:r>
        <w:rPr>
          <w:rFonts w:eastAsia="仿宋_GB2312"/>
          <w:szCs w:val="21"/>
        </w:rPr>
        <w:t>本项目</w:t>
      </w:r>
      <w:r>
        <w:rPr>
          <w:rFonts w:hint="eastAsia" w:eastAsia="仿宋_GB2312"/>
          <w:szCs w:val="21"/>
        </w:rPr>
        <w:t>年发电量约45284.22万kWh</w:t>
      </w:r>
      <w:r>
        <w:rPr>
          <w:rFonts w:eastAsia="仿宋_GB2312"/>
          <w:sz w:val="24"/>
        </w:rPr>
        <w:t>。</w:t>
      </w:r>
    </w:p>
    <w:p>
      <w:pPr>
        <w:pStyle w:val="12"/>
        <w:keepNext w:val="0"/>
        <w:keepLines w:val="0"/>
        <w:pageBreakBefore w:val="0"/>
        <w:kinsoku/>
        <w:wordWrap/>
        <w:overflowPunct/>
        <w:topLinePunct w:val="0"/>
        <w:bidi w:val="0"/>
        <w:spacing w:line="540" w:lineRule="exact"/>
        <w:rPr>
          <w:rFonts w:ascii="Times New Roman" w:hAnsi="Times New Roman"/>
        </w:rPr>
      </w:pPr>
      <w:r>
        <w:rPr>
          <w:rFonts w:ascii="Times New Roman" w:hAnsi="Times New Roman"/>
        </w:rPr>
        <w:t>根据《报告表》评价结论，在落实《报告表》中提出的各项污染防治措施的前提下，从生态环境角度考虑，我局原则同意《报告表》的环境影响评价总体结论和拟采取的生态环境保护措施。</w:t>
      </w:r>
    </w:p>
    <w:p>
      <w:pPr>
        <w:pStyle w:val="12"/>
        <w:keepNext w:val="0"/>
        <w:keepLines w:val="0"/>
        <w:pageBreakBefore w:val="0"/>
        <w:kinsoku/>
        <w:wordWrap/>
        <w:overflowPunct/>
        <w:topLinePunct w:val="0"/>
        <w:bidi w:val="0"/>
        <w:spacing w:line="540" w:lineRule="exact"/>
        <w:rPr>
          <w:rFonts w:ascii="Times New Roman" w:hAnsi="Times New Roman"/>
        </w:rPr>
      </w:pPr>
      <w:r>
        <w:rPr>
          <w:rFonts w:ascii="Times New Roman" w:hAnsi="Times New Roman"/>
        </w:rPr>
        <w:t>二、在项目工程设计、建设和环境管理中，你公司须落实《报告表》中提出的</w:t>
      </w:r>
      <w:r>
        <w:rPr>
          <w:rFonts w:hint="default" w:ascii="Times New Roman" w:hAnsi="Times New Roman" w:eastAsia="仿宋_GB2312" w:cs="Times New Roman"/>
          <w:sz w:val="32"/>
          <w:szCs w:val="32"/>
        </w:rPr>
        <w:t>各项污染防治措施</w:t>
      </w:r>
      <w:r>
        <w:rPr>
          <w:rFonts w:ascii="Times New Roman" w:hAnsi="Times New Roman"/>
        </w:rPr>
        <w:t>，确保各类污染物达标排放，并须着重落实以下各项工作：</w:t>
      </w:r>
    </w:p>
    <w:p>
      <w:pPr>
        <w:pStyle w:val="12"/>
        <w:keepNext w:val="0"/>
        <w:keepLines w:val="0"/>
        <w:pageBreakBefore w:val="0"/>
        <w:kinsoku/>
        <w:wordWrap/>
        <w:overflowPunct/>
        <w:topLinePunct w:val="0"/>
        <w:bidi w:val="0"/>
        <w:spacing w:line="540" w:lineRule="exact"/>
        <w:rPr>
          <w:rFonts w:ascii="Times New Roman" w:hAnsi="Times New Roman"/>
        </w:rPr>
      </w:pPr>
      <w:r>
        <w:rPr>
          <w:rFonts w:ascii="Times New Roman" w:hAnsi="Times New Roman"/>
        </w:rPr>
        <w:t>（一）全过程贯彻清洁生产原则和循环经济理念，采用先进工艺和设备，优化工程设计，合理布局，实施高效环境管理，提高资源合理配置和循环利用水平，实行清洁生产，最大限度减少污染物产生量和排放量。</w:t>
      </w:r>
    </w:p>
    <w:p>
      <w:pPr>
        <w:keepNext w:val="0"/>
        <w:keepLines w:val="0"/>
        <w:pageBreakBefore w:val="0"/>
        <w:widowControl/>
        <w:suppressLineNumbers w:val="0"/>
        <w:kinsoku/>
        <w:wordWrap/>
        <w:overflowPunct/>
        <w:topLinePunct w:val="0"/>
        <w:bidi w:val="0"/>
        <w:spacing w:line="540" w:lineRule="exact"/>
        <w:ind w:firstLine="640" w:firstLineChars="200"/>
        <w:jc w:val="both"/>
        <w:rPr>
          <w:rFonts w:hint="eastAsia" w:ascii="Times New Roman" w:hAnsi="Times New Roman" w:eastAsia="仿宋_GB2312" w:cs="Times New Roman"/>
          <w:bCs/>
          <w:kern w:val="2"/>
          <w:sz w:val="32"/>
          <w:szCs w:val="32"/>
          <w:lang w:val="en-US" w:eastAsia="zh-CN" w:bidi="ar-SA"/>
        </w:rPr>
      </w:pPr>
      <w:r>
        <w:rPr>
          <w:rFonts w:ascii="Times New Roman" w:hAnsi="Times New Roman"/>
        </w:rPr>
        <w:t>（二）加强废水污</w:t>
      </w:r>
      <w:r>
        <w:rPr>
          <w:rFonts w:ascii="Times New Roman" w:hAnsi="Times New Roman" w:eastAsia="仿宋_GB2312" w:cs="Times New Roman"/>
          <w:bCs/>
          <w:kern w:val="2"/>
          <w:sz w:val="32"/>
          <w:szCs w:val="32"/>
          <w:lang w:eastAsia="zh-CN" w:bidi="ar-SA"/>
        </w:rPr>
        <w:t>染防治。按“清污分流、雨污分流”原则设计、</w:t>
      </w:r>
      <w:r>
        <w:rPr>
          <w:rFonts w:hint="eastAsia" w:cs="Times New Roman"/>
          <w:bCs/>
          <w:kern w:val="2"/>
          <w:sz w:val="32"/>
          <w:szCs w:val="32"/>
          <w:lang w:val="en-US" w:eastAsia="zh-CN" w:bidi="ar-SA"/>
        </w:rPr>
        <w:t>建设、</w:t>
      </w:r>
      <w:r>
        <w:rPr>
          <w:rFonts w:ascii="Times New Roman" w:hAnsi="Times New Roman" w:eastAsia="仿宋_GB2312" w:cs="Times New Roman"/>
          <w:bCs/>
          <w:kern w:val="2"/>
          <w:sz w:val="32"/>
          <w:szCs w:val="32"/>
          <w:lang w:eastAsia="zh-CN" w:bidi="ar-SA"/>
        </w:rPr>
        <w:t>完善给排水系统。</w:t>
      </w:r>
      <w:r>
        <w:rPr>
          <w:rFonts w:hint="eastAsia" w:ascii="Times New Roman" w:hAnsi="Times New Roman" w:eastAsia="仿宋_GB2312" w:cs="Times New Roman"/>
          <w:bCs/>
          <w:kern w:val="2"/>
          <w:sz w:val="32"/>
          <w:szCs w:val="32"/>
          <w:lang w:val="en-US" w:eastAsia="zh-CN" w:bidi="ar-SA"/>
        </w:rPr>
        <w:t>项目废水主要为生活污水。升压站内办公生活污水经地埋式一体化污水处理设施处理后满足《城市污水再生利用城市杂用水水质》（GB/T18920-2020）城市绿化水质标准要求后回用于</w:t>
      </w:r>
      <w:r>
        <w:rPr>
          <w:rFonts w:ascii="Times New Roman" w:hAnsi="Times New Roman" w:eastAsia="仿宋_GB2312" w:cs="Times New Roman"/>
          <w:bCs/>
          <w:kern w:val="2"/>
          <w:sz w:val="32"/>
          <w:szCs w:val="32"/>
          <w:lang w:eastAsia="zh-CN" w:bidi="ar-SA"/>
        </w:rPr>
        <w:t>绿化带绿化</w:t>
      </w:r>
      <w:r>
        <w:rPr>
          <w:rFonts w:hint="eastAsia" w:cs="Times New Roman"/>
          <w:bCs/>
          <w:kern w:val="2"/>
          <w:sz w:val="32"/>
          <w:szCs w:val="32"/>
          <w:lang w:eastAsia="zh-CN" w:bidi="ar-SA"/>
        </w:rPr>
        <w:t>，</w:t>
      </w:r>
      <w:r>
        <w:rPr>
          <w:rFonts w:ascii="Times New Roman" w:hAnsi="Times New Roman" w:eastAsia="仿宋_GB2312" w:cs="Times New Roman"/>
          <w:bCs/>
          <w:kern w:val="2"/>
          <w:sz w:val="32"/>
          <w:szCs w:val="32"/>
          <w:lang w:eastAsia="zh-CN" w:bidi="ar-SA"/>
        </w:rPr>
        <w:t>不外排</w:t>
      </w:r>
      <w:r>
        <w:rPr>
          <w:rFonts w:hint="eastAsia" w:ascii="Times New Roman" w:hAnsi="Times New Roman" w:eastAsia="仿宋_GB2312" w:cs="Times New Roman"/>
          <w:bCs/>
          <w:kern w:val="2"/>
          <w:sz w:val="32"/>
          <w:szCs w:val="32"/>
          <w:lang w:val="en-US" w:eastAsia="zh-CN" w:bidi="ar-SA"/>
        </w:rPr>
        <w:t>。施工期设置临时性防渗漏化粪池等设施，生活污水经化粪池处理后由附近农民清掏用做农肥。</w:t>
      </w:r>
    </w:p>
    <w:p>
      <w:pPr>
        <w:pStyle w:val="3"/>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三）加强废气污染防治。严格落实《报告表》提出的各项废气污染防治措施，确保废气的处理效率及排气筒高度达到《报告表》提出的要求。施工期废气扬尘执行《大气污染物综合排放标准》（DB32/4041-2021）中表3单位边界大气污染物监控浓度限值；项目运营期无废气产生。</w:t>
      </w:r>
    </w:p>
    <w:p>
      <w:pPr>
        <w:keepNext w:val="0"/>
        <w:keepLines w:val="0"/>
        <w:pageBreakBefore w:val="0"/>
        <w:widowControl/>
        <w:suppressLineNumbers w:val="0"/>
        <w:kinsoku/>
        <w:wordWrap/>
        <w:overflowPunct/>
        <w:topLinePunct w:val="0"/>
        <w:bidi w:val="0"/>
        <w:spacing w:line="540" w:lineRule="exact"/>
        <w:ind w:firstLine="640" w:firstLineChars="200"/>
        <w:jc w:val="left"/>
        <w:rPr>
          <w:rFonts w:ascii="Times New Roman" w:hAnsi="Times New Roman" w:eastAsia="仿宋_GB2312" w:cs="Times New Roman"/>
          <w:bCs/>
          <w:kern w:val="2"/>
          <w:sz w:val="32"/>
          <w:szCs w:val="32"/>
          <w:lang w:eastAsia="zh-CN" w:bidi="ar-SA"/>
        </w:rPr>
      </w:pPr>
      <w:r>
        <w:rPr>
          <w:szCs w:val="32"/>
        </w:rPr>
        <w:t>（四）加强</w:t>
      </w:r>
      <w:r>
        <w:rPr>
          <w:szCs w:val="32"/>
          <w:lang w:val="en-US"/>
        </w:rPr>
        <w:t>噪</w:t>
      </w:r>
      <w:r>
        <w:rPr>
          <w:rFonts w:hint="eastAsia" w:ascii="Times New Roman" w:hAnsi="Times New Roman" w:eastAsia="仿宋_GB2312" w:cs="Times New Roman"/>
          <w:bCs/>
          <w:kern w:val="2"/>
          <w:sz w:val="32"/>
          <w:szCs w:val="32"/>
          <w:lang w:val="en-US" w:eastAsia="zh-CN" w:bidi="ar-SA"/>
        </w:rPr>
        <w:t>声污染防</w:t>
      </w:r>
      <w:r>
        <w:rPr>
          <w:rFonts w:hint="eastAsia" w:ascii="Times New Roman" w:hAnsi="Times New Roman" w:eastAsia="仿宋_GB2312" w:cs="Times New Roman"/>
          <w:color w:val="auto"/>
          <w:kern w:val="2"/>
          <w:sz w:val="32"/>
          <w:szCs w:val="24"/>
          <w:lang w:val="en-US" w:eastAsia="zh-CN" w:bidi="ar-SA"/>
        </w:rPr>
        <w:t>治。项目运营期产生的噪声主要来源于</w:t>
      </w:r>
      <w:r>
        <w:rPr>
          <w:rFonts w:hint="eastAsia" w:cs="Times New Roman"/>
          <w:color w:val="auto"/>
          <w:kern w:val="2"/>
          <w:sz w:val="32"/>
          <w:szCs w:val="24"/>
          <w:lang w:val="en-US" w:eastAsia="zh-CN" w:bidi="ar-SA"/>
        </w:rPr>
        <w:t>升压站的主变压器</w:t>
      </w:r>
      <w:r>
        <w:rPr>
          <w:rFonts w:hint="eastAsia" w:ascii="Times New Roman" w:hAnsi="Times New Roman" w:eastAsia="仿宋_GB2312" w:cs="Times New Roman"/>
          <w:color w:val="auto"/>
          <w:kern w:val="2"/>
          <w:sz w:val="32"/>
          <w:szCs w:val="24"/>
          <w:lang w:val="en-US" w:eastAsia="zh-CN" w:bidi="ar-SA"/>
        </w:rPr>
        <w:t>，须合理布局，选用低噪设备，切实落实</w:t>
      </w:r>
      <w:r>
        <w:rPr>
          <w:rFonts w:hint="default" w:ascii="Times New Roman" w:hAnsi="Times New Roman" w:eastAsia="仿宋_GB2312" w:cs="Times New Roman"/>
          <w:sz w:val="32"/>
          <w:szCs w:val="32"/>
        </w:rPr>
        <w:t>《报</w:t>
      </w:r>
      <w:r>
        <w:rPr>
          <w:rFonts w:hint="default" w:ascii="Times New Roman" w:hAnsi="Times New Roman" w:eastAsia="仿宋_GB2312" w:cs="Times New Roman"/>
          <w:bCs/>
          <w:sz w:val="32"/>
          <w:szCs w:val="32"/>
        </w:rPr>
        <w:t>告表》</w:t>
      </w:r>
      <w:r>
        <w:rPr>
          <w:rFonts w:hint="eastAsia" w:ascii="Times New Roman" w:hAnsi="Times New Roman" w:eastAsia="仿宋_GB2312" w:cs="Times New Roman"/>
          <w:color w:val="auto"/>
          <w:kern w:val="2"/>
          <w:sz w:val="32"/>
          <w:szCs w:val="24"/>
          <w:lang w:val="en-US" w:eastAsia="zh-CN" w:bidi="ar-SA"/>
        </w:rPr>
        <w:t>中提出的减振、隔声降噪等措施，厂界噪声执行《工业企业</w:t>
      </w:r>
      <w:r>
        <w:rPr>
          <w:szCs w:val="32"/>
        </w:rPr>
        <w:t>厂界环境噪声排放标准》（GB12348-2008）中</w:t>
      </w:r>
      <w:r>
        <w:rPr>
          <w:rFonts w:hint="eastAsia"/>
          <w:szCs w:val="32"/>
          <w:lang w:val="en-US" w:eastAsia="zh-CN"/>
        </w:rPr>
        <w:t>1</w:t>
      </w:r>
      <w:r>
        <w:rPr>
          <w:szCs w:val="32"/>
        </w:rPr>
        <w:t>类标准要求。</w:t>
      </w:r>
      <w:r>
        <w:rPr>
          <w:rFonts w:hint="eastAsia"/>
          <w:szCs w:val="32"/>
          <w:lang w:eastAsia="zh-CN"/>
        </w:rPr>
        <w:t>施工期</w:t>
      </w:r>
      <w:r>
        <w:rPr>
          <w:rFonts w:ascii="Times New Roman" w:hAnsi="Times New Roman" w:eastAsia="仿宋_GB2312" w:cs="Times New Roman"/>
          <w:bCs/>
          <w:kern w:val="2"/>
          <w:sz w:val="32"/>
          <w:szCs w:val="32"/>
          <w:lang w:eastAsia="zh-CN" w:bidi="ar-SA"/>
        </w:rPr>
        <w:t>昼间施工噪声达到《建筑施工场界环境噪声排放标准》</w:t>
      </w:r>
      <w:r>
        <w:rPr>
          <w:rFonts w:hint="default" w:ascii="Times New Roman" w:hAnsi="Times New Roman" w:eastAsia="仿宋_GB2312" w:cs="Times New Roman"/>
          <w:bCs/>
          <w:kern w:val="2"/>
          <w:sz w:val="32"/>
          <w:szCs w:val="32"/>
          <w:lang w:eastAsia="zh-CN" w:bidi="ar-SA"/>
        </w:rPr>
        <w:t>（GB12523-2011）</w:t>
      </w:r>
      <w:r>
        <w:rPr>
          <w:rFonts w:ascii="Times New Roman" w:hAnsi="Times New Roman" w:eastAsia="仿宋_GB2312" w:cs="Times New Roman"/>
          <w:bCs/>
          <w:kern w:val="2"/>
          <w:sz w:val="32"/>
          <w:szCs w:val="32"/>
          <w:lang w:eastAsia="zh-CN" w:bidi="ar-SA"/>
        </w:rPr>
        <w:t>昼间限值要求</w:t>
      </w:r>
      <w:r>
        <w:rPr>
          <w:rFonts w:hint="eastAsia" w:cs="Times New Roman"/>
          <w:bCs/>
          <w:kern w:val="2"/>
          <w:sz w:val="32"/>
          <w:szCs w:val="32"/>
          <w:lang w:eastAsia="zh-CN" w:bidi="ar-SA"/>
        </w:rPr>
        <w:t>，</w:t>
      </w:r>
      <w:r>
        <w:t>夜间原则上禁止施工。</w:t>
      </w:r>
    </w:p>
    <w:p>
      <w:pPr>
        <w:pStyle w:val="12"/>
        <w:keepNext w:val="0"/>
        <w:keepLines w:val="0"/>
        <w:pageBreakBefore w:val="0"/>
        <w:kinsoku/>
        <w:wordWrap/>
        <w:overflowPunct/>
        <w:topLinePunct w:val="0"/>
        <w:bidi w:val="0"/>
        <w:spacing w:line="540" w:lineRule="exact"/>
        <w:rPr>
          <w:rFonts w:hint="eastAsia" w:ascii="Times New Roman" w:hAnsi="Times New Roman"/>
          <w:lang w:eastAsia="zh-CN"/>
        </w:rPr>
      </w:pPr>
      <w:r>
        <w:rPr>
          <w:rFonts w:ascii="Times New Roman" w:hAnsi="Times New Roman"/>
        </w:rPr>
        <w:t>（五）落实固废的规范堆放和安全处置措施。应按“资源化、减量化、无害化”处置原则，</w:t>
      </w:r>
      <w:r>
        <w:rPr>
          <w:rFonts w:hint="default" w:ascii="Times New Roman" w:hAnsi="Times New Roman" w:eastAsia="仿宋_GB2312" w:cs="Times New Roman"/>
          <w:sz w:val="32"/>
          <w:szCs w:val="32"/>
        </w:rPr>
        <w:t>落实各类固体废物的收集、处置和综合利用措施。固体废物在厂内的堆放、贮存、转移应符合《一般工业固体废物贮存和填埋污染控制标准》（GB 18599-2020）、《危险废物贮存污染控制标准》（GB 18597-2001）及修改单和相关管理要求，防止产生二次污染。</w:t>
      </w:r>
      <w:r>
        <w:rPr>
          <w:rFonts w:ascii="Times New Roman" w:hAnsi="Times New Roman"/>
        </w:rPr>
        <w:t>危险废物应委托具备危险废物处置资质的单位进行安全处置，并按规定办理危险废物转移处理手续</w:t>
      </w:r>
      <w:r>
        <w:rPr>
          <w:rFonts w:hint="eastAsia" w:ascii="Times New Roman" w:hAnsi="Times New Roman"/>
          <w:lang w:eastAsia="zh-CN"/>
        </w:rPr>
        <w:t>。</w:t>
      </w:r>
    </w:p>
    <w:p>
      <w:pPr>
        <w:pStyle w:val="12"/>
        <w:keepNext w:val="0"/>
        <w:keepLines w:val="0"/>
        <w:pageBreakBefore w:val="0"/>
        <w:kinsoku/>
        <w:wordWrap/>
        <w:overflowPunct/>
        <w:topLinePunct w:val="0"/>
        <w:bidi w:val="0"/>
        <w:spacing w:line="540" w:lineRule="exact"/>
        <w:rPr>
          <w:rFonts w:ascii="Times New Roman" w:hAnsi="Times New Roman"/>
        </w:rPr>
      </w:pPr>
      <w:r>
        <w:rPr>
          <w:rFonts w:ascii="Times New Roman" w:hAnsi="Times New Roman"/>
        </w:rPr>
        <w:t>（六）加强设备运行及环境风险管理，落实《报告表》提出的风险防范措施，采取切实可行的工程控制和管理措施，防止发生污染事故。</w:t>
      </w:r>
    </w:p>
    <w:p>
      <w:pPr>
        <w:pStyle w:val="12"/>
        <w:keepNext w:val="0"/>
        <w:keepLines w:val="0"/>
        <w:pageBreakBefore w:val="0"/>
        <w:kinsoku/>
        <w:wordWrap/>
        <w:overflowPunct/>
        <w:topLinePunct w:val="0"/>
        <w:bidi w:val="0"/>
        <w:spacing w:line="540" w:lineRule="exact"/>
        <w:rPr>
          <w:rFonts w:ascii="Times New Roman" w:hAnsi="Times New Roman"/>
        </w:rPr>
      </w:pPr>
      <w:r>
        <w:rPr>
          <w:rFonts w:ascii="Times New Roman" w:hAnsi="Times New Roman"/>
        </w:rPr>
        <w:t>（七）对环境治理设施开展安全风险识别管控，健全内部污染防治设施稳定运行和管理责任制度，严格依据标准规范建设环境治理设施，确保环境治理设施安全、稳定、有效运行。</w:t>
      </w:r>
    </w:p>
    <w:p>
      <w:pPr>
        <w:pStyle w:val="12"/>
        <w:keepNext w:val="0"/>
        <w:keepLines w:val="0"/>
        <w:pageBreakBefore w:val="0"/>
        <w:kinsoku/>
        <w:wordWrap/>
        <w:overflowPunct/>
        <w:topLinePunct w:val="0"/>
        <w:bidi w:val="0"/>
        <w:spacing w:line="540" w:lineRule="exact"/>
        <w:rPr>
          <w:rFonts w:ascii="Times New Roman" w:hAnsi="Times New Roman"/>
        </w:rPr>
      </w:pPr>
      <w:r>
        <w:rPr>
          <w:rFonts w:ascii="Times New Roman" w:hAnsi="Times New Roman"/>
          <w:color w:val="000000" w:themeColor="text1"/>
          <w14:textFill>
            <w14:solidFill>
              <w14:schemeClr w14:val="tx1"/>
            </w14:solidFill>
          </w14:textFill>
        </w:rPr>
        <w:t>（八）按照《江苏省排污口设置及规范化整治管理办法》要</w:t>
      </w:r>
      <w:r>
        <w:rPr>
          <w:rFonts w:ascii="Times New Roman" w:hAnsi="Times New Roman"/>
        </w:rPr>
        <w:t>求设置各类排污口和标志。按《报告表》提出的环境管理与监测计划实施日常环境管理与监测。</w:t>
      </w:r>
    </w:p>
    <w:p>
      <w:pPr>
        <w:pStyle w:val="12"/>
        <w:keepNext w:val="0"/>
        <w:keepLines w:val="0"/>
        <w:pageBreakBefore w:val="0"/>
        <w:kinsoku/>
        <w:wordWrap/>
        <w:overflowPunct/>
        <w:topLinePunct w:val="0"/>
        <w:bidi w:val="0"/>
        <w:spacing w:line="540" w:lineRule="exact"/>
        <w:rPr>
          <w:rFonts w:ascii="Times New Roman" w:hAnsi="Times New Roman"/>
        </w:rPr>
      </w:pPr>
      <w:r>
        <w:rPr>
          <w:rFonts w:ascii="Times New Roman" w:hAnsi="Times New Roman"/>
        </w:rPr>
        <w:t>三、严格落实生态环境保护主体责任，你公司应当对《报告表》的内容和结论负责。</w:t>
      </w:r>
    </w:p>
    <w:p>
      <w:pPr>
        <w:pStyle w:val="12"/>
        <w:keepNext w:val="0"/>
        <w:keepLines w:val="0"/>
        <w:pageBreakBefore w:val="0"/>
        <w:kinsoku/>
        <w:wordWrap/>
        <w:overflowPunct/>
        <w:topLinePunct w:val="0"/>
        <w:bidi w:val="0"/>
        <w:spacing w:line="540" w:lineRule="exact"/>
        <w:rPr>
          <w:rFonts w:ascii="Times New Roman" w:hAnsi="Times New Roman"/>
        </w:rPr>
      </w:pPr>
      <w:r>
        <w:rPr>
          <w:rFonts w:ascii="Times New Roman" w:hAnsi="Times New Roman"/>
        </w:rPr>
        <w:t>四、项目建设和运行期间的环境现场监督管理工作由连云港市赣榆生态环境局负责。</w:t>
      </w:r>
    </w:p>
    <w:p>
      <w:pPr>
        <w:pStyle w:val="12"/>
        <w:keepNext w:val="0"/>
        <w:keepLines w:val="0"/>
        <w:pageBreakBefore w:val="0"/>
        <w:kinsoku/>
        <w:wordWrap/>
        <w:overflowPunct/>
        <w:topLinePunct w:val="0"/>
        <w:bidi w:val="0"/>
        <w:spacing w:line="540" w:lineRule="exact"/>
        <w:rPr>
          <w:rFonts w:ascii="Times New Roman" w:hAnsi="Times New Roman"/>
        </w:rPr>
      </w:pPr>
      <w:r>
        <w:rPr>
          <w:rFonts w:ascii="Times New Roman" w:hAnsi="Times New Roman"/>
        </w:rPr>
        <w:t>五、项目应当在启动生产设施或者在实际排污之前申领排污许可证或者填报排污登记表，未取得排污许可证或者填报排污登记的，不得排放污染物。项目建设必须严格执行配套的环境保护设施与主体工程同时设计、同时施工、同时投产使用的环境保护“三同时”制度，须按规定程序实施竣工环境保护验收。</w:t>
      </w:r>
    </w:p>
    <w:p>
      <w:pPr>
        <w:pStyle w:val="12"/>
        <w:keepNext w:val="0"/>
        <w:keepLines w:val="0"/>
        <w:pageBreakBefore w:val="0"/>
        <w:kinsoku/>
        <w:wordWrap/>
        <w:overflowPunct/>
        <w:topLinePunct w:val="0"/>
        <w:bidi w:val="0"/>
        <w:spacing w:line="540" w:lineRule="exact"/>
        <w:rPr>
          <w:rFonts w:ascii="Times New Roman" w:hAnsi="Times New Roman"/>
        </w:rPr>
      </w:pPr>
      <w:r>
        <w:rPr>
          <w:rFonts w:ascii="Times New Roman" w:hAnsi="Times New Roman"/>
        </w:rPr>
        <w:t>六、项目的性质、规模、地点、采用的生产工艺或者防治污染、防止生态破坏的措施发生重大变动的，应当重新报批项目的环境影响评价文件。</w:t>
      </w:r>
      <w:r>
        <w:rPr>
          <w:rFonts w:ascii="Times New Roman" w:hAnsi="Times New Roman"/>
          <w:color w:val="000000"/>
        </w:rPr>
        <w:t>项目自批准之日起超过5年方开工建设的，环评文件须报我局重新审核。</w:t>
      </w:r>
    </w:p>
    <w:p>
      <w:pPr>
        <w:keepNext w:val="0"/>
        <w:keepLines w:val="0"/>
        <w:pageBreakBefore w:val="0"/>
        <w:tabs>
          <w:tab w:val="left" w:pos="7680"/>
        </w:tabs>
        <w:kinsoku/>
        <w:wordWrap/>
        <w:overflowPunct/>
        <w:topLinePunct w:val="0"/>
        <w:bidi w:val="0"/>
        <w:spacing w:line="540" w:lineRule="exact"/>
        <w:ind w:firstLine="5120" w:firstLineChars="1600"/>
        <w:rPr>
          <w:szCs w:val="32"/>
        </w:rPr>
      </w:pPr>
    </w:p>
    <w:p>
      <w:pPr>
        <w:keepNext w:val="0"/>
        <w:keepLines w:val="0"/>
        <w:pageBreakBefore w:val="0"/>
        <w:tabs>
          <w:tab w:val="left" w:pos="7680"/>
        </w:tabs>
        <w:kinsoku/>
        <w:wordWrap/>
        <w:overflowPunct/>
        <w:topLinePunct w:val="0"/>
        <w:bidi w:val="0"/>
        <w:spacing w:line="540" w:lineRule="exact"/>
        <w:ind w:firstLine="5120" w:firstLineChars="1600"/>
        <w:rPr>
          <w:szCs w:val="32"/>
        </w:rPr>
      </w:pPr>
    </w:p>
    <w:p>
      <w:pPr>
        <w:keepNext w:val="0"/>
        <w:keepLines w:val="0"/>
        <w:pageBreakBefore w:val="0"/>
        <w:tabs>
          <w:tab w:val="left" w:pos="7680"/>
        </w:tabs>
        <w:kinsoku/>
        <w:wordWrap/>
        <w:overflowPunct/>
        <w:topLinePunct w:val="0"/>
        <w:bidi w:val="0"/>
        <w:spacing w:line="540" w:lineRule="exact"/>
        <w:rPr>
          <w:szCs w:val="32"/>
        </w:rPr>
      </w:pPr>
    </w:p>
    <w:p>
      <w:pPr>
        <w:keepNext w:val="0"/>
        <w:keepLines w:val="0"/>
        <w:pageBreakBefore w:val="0"/>
        <w:tabs>
          <w:tab w:val="left" w:pos="7680"/>
        </w:tabs>
        <w:kinsoku/>
        <w:wordWrap/>
        <w:overflowPunct/>
        <w:topLinePunct w:val="0"/>
        <w:bidi w:val="0"/>
        <w:spacing w:line="540" w:lineRule="exact"/>
        <w:ind w:firstLine="5120" w:firstLineChars="1600"/>
        <w:rPr>
          <w:szCs w:val="32"/>
        </w:rPr>
      </w:pPr>
    </w:p>
    <w:p>
      <w:pPr>
        <w:keepNext w:val="0"/>
        <w:keepLines w:val="0"/>
        <w:pageBreakBefore w:val="0"/>
        <w:tabs>
          <w:tab w:val="left" w:pos="7680"/>
        </w:tabs>
        <w:kinsoku/>
        <w:wordWrap/>
        <w:overflowPunct/>
        <w:topLinePunct w:val="0"/>
        <w:bidi w:val="0"/>
        <w:spacing w:line="540" w:lineRule="exact"/>
        <w:ind w:firstLine="5120" w:firstLineChars="1600"/>
        <w:rPr>
          <w:szCs w:val="32"/>
        </w:rPr>
      </w:pPr>
    </w:p>
    <w:p>
      <w:pPr>
        <w:keepNext w:val="0"/>
        <w:keepLines w:val="0"/>
        <w:pageBreakBefore w:val="0"/>
        <w:tabs>
          <w:tab w:val="left" w:pos="7680"/>
        </w:tabs>
        <w:kinsoku/>
        <w:wordWrap/>
        <w:overflowPunct/>
        <w:topLinePunct w:val="0"/>
        <w:bidi w:val="0"/>
        <w:spacing w:line="540" w:lineRule="exact"/>
        <w:ind w:firstLine="5120" w:firstLineChars="1600"/>
        <w:rPr>
          <w:szCs w:val="32"/>
        </w:rPr>
      </w:pPr>
      <w:r>
        <w:rPr>
          <w:szCs w:val="32"/>
        </w:rPr>
        <w:t>连云港市生态环境局</w:t>
      </w:r>
    </w:p>
    <w:p>
      <w:pPr>
        <w:keepNext w:val="0"/>
        <w:keepLines w:val="0"/>
        <w:pageBreakBefore w:val="0"/>
        <w:tabs>
          <w:tab w:val="left" w:pos="7840"/>
        </w:tabs>
        <w:kinsoku/>
        <w:wordWrap/>
        <w:overflowPunct/>
        <w:topLinePunct w:val="0"/>
        <w:bidi w:val="0"/>
        <w:spacing w:line="540" w:lineRule="exact"/>
        <w:rPr>
          <w:szCs w:val="32"/>
          <w:lang w:val="en-US"/>
        </w:rPr>
      </w:pPr>
      <w:r>
        <w:rPr>
          <w:szCs w:val="32"/>
        </w:rPr>
        <w:t xml:space="preserve">                                 202</w:t>
      </w:r>
      <w:r>
        <w:rPr>
          <w:rFonts w:hint="eastAsia"/>
          <w:szCs w:val="32"/>
          <w:lang w:val="en-US" w:eastAsia="zh-CN"/>
        </w:rPr>
        <w:t>3</w:t>
      </w:r>
      <w:r>
        <w:rPr>
          <w:szCs w:val="32"/>
        </w:rPr>
        <w:t>年</w:t>
      </w:r>
      <w:r>
        <w:rPr>
          <w:rFonts w:hint="eastAsia"/>
          <w:szCs w:val="32"/>
          <w:lang w:val="en-US" w:eastAsia="zh-CN"/>
        </w:rPr>
        <w:t>3</w:t>
      </w:r>
      <w:r>
        <w:rPr>
          <w:szCs w:val="32"/>
        </w:rPr>
        <w:t>月</w:t>
      </w:r>
      <w:r>
        <w:rPr>
          <w:rFonts w:hint="eastAsia"/>
          <w:szCs w:val="32"/>
          <w:lang w:val="en-US" w:eastAsia="zh-CN"/>
        </w:rPr>
        <w:t>X</w:t>
      </w:r>
      <w:r>
        <w:rPr>
          <w:szCs w:val="32"/>
        </w:rPr>
        <w:t>日</w:t>
      </w:r>
      <w:r>
        <w:rPr>
          <w:szCs w:val="32"/>
          <w:lang w:val="en-US"/>
        </w:rPr>
        <w:t xml:space="preserve"> </w:t>
      </w:r>
    </w:p>
    <w:p>
      <w:pPr>
        <w:keepNext w:val="0"/>
        <w:keepLines w:val="0"/>
        <w:pageBreakBefore w:val="0"/>
        <w:kinsoku/>
        <w:wordWrap/>
        <w:overflowPunct/>
        <w:topLinePunct w:val="0"/>
        <w:bidi w:val="0"/>
        <w:spacing w:line="540" w:lineRule="exact"/>
        <w:ind w:left="960" w:hanging="960" w:hangingChars="300"/>
        <w:rPr>
          <w:szCs w:val="32"/>
        </w:rPr>
      </w:pPr>
    </w:p>
    <w:p>
      <w:pPr>
        <w:keepNext w:val="0"/>
        <w:keepLines w:val="0"/>
        <w:pageBreakBefore w:val="0"/>
        <w:kinsoku/>
        <w:wordWrap/>
        <w:overflowPunct/>
        <w:topLinePunct w:val="0"/>
        <w:bidi w:val="0"/>
        <w:spacing w:line="540" w:lineRule="exact"/>
        <w:ind w:left="960" w:hanging="960" w:hangingChars="300"/>
        <w:rPr>
          <w:szCs w:val="32"/>
        </w:rPr>
      </w:pPr>
    </w:p>
    <w:p>
      <w:pPr>
        <w:keepNext w:val="0"/>
        <w:keepLines w:val="0"/>
        <w:pageBreakBefore w:val="0"/>
        <w:kinsoku/>
        <w:wordWrap/>
        <w:overflowPunct/>
        <w:topLinePunct w:val="0"/>
        <w:bidi w:val="0"/>
        <w:spacing w:line="540" w:lineRule="exact"/>
        <w:ind w:left="960" w:hanging="960" w:hangingChars="300"/>
        <w:rPr>
          <w:szCs w:val="32"/>
        </w:rPr>
      </w:pPr>
    </w:p>
    <w:p>
      <w:pPr>
        <w:keepNext w:val="0"/>
        <w:keepLines w:val="0"/>
        <w:pageBreakBefore w:val="0"/>
        <w:kinsoku/>
        <w:wordWrap/>
        <w:overflowPunct/>
        <w:topLinePunct w:val="0"/>
        <w:bidi w:val="0"/>
        <w:spacing w:line="540" w:lineRule="exact"/>
        <w:ind w:left="960" w:hanging="960" w:hangingChars="300"/>
        <w:rPr>
          <w:szCs w:val="32"/>
        </w:rPr>
      </w:pPr>
    </w:p>
    <w:p>
      <w:pPr>
        <w:keepNext w:val="0"/>
        <w:keepLines w:val="0"/>
        <w:pageBreakBefore w:val="0"/>
        <w:kinsoku/>
        <w:wordWrap/>
        <w:overflowPunct/>
        <w:topLinePunct w:val="0"/>
        <w:bidi w:val="0"/>
        <w:spacing w:line="540" w:lineRule="exact"/>
        <w:ind w:left="960" w:hanging="960" w:hangingChars="300"/>
        <w:rPr>
          <w:szCs w:val="32"/>
        </w:rPr>
      </w:pPr>
    </w:p>
    <w:p>
      <w:pPr>
        <w:keepNext w:val="0"/>
        <w:keepLines w:val="0"/>
        <w:pageBreakBefore w:val="0"/>
        <w:kinsoku/>
        <w:wordWrap/>
        <w:overflowPunct/>
        <w:topLinePunct w:val="0"/>
        <w:bidi w:val="0"/>
        <w:spacing w:line="540" w:lineRule="exact"/>
        <w:ind w:left="960" w:hanging="960" w:hangingChars="300"/>
        <w:rPr>
          <w:szCs w:val="32"/>
        </w:rPr>
      </w:pPr>
    </w:p>
    <w:p>
      <w:pPr>
        <w:keepNext w:val="0"/>
        <w:keepLines w:val="0"/>
        <w:pageBreakBefore w:val="0"/>
        <w:kinsoku/>
        <w:wordWrap/>
        <w:overflowPunct/>
        <w:topLinePunct w:val="0"/>
        <w:bidi w:val="0"/>
        <w:spacing w:line="540" w:lineRule="exact"/>
        <w:rPr>
          <w:szCs w:val="32"/>
        </w:rPr>
      </w:pPr>
    </w:p>
    <w:p>
      <w:pPr>
        <w:keepNext w:val="0"/>
        <w:keepLines w:val="0"/>
        <w:pageBreakBefore w:val="0"/>
        <w:kinsoku/>
        <w:wordWrap/>
        <w:overflowPunct/>
        <w:topLinePunct w:val="0"/>
        <w:bidi w:val="0"/>
        <w:spacing w:line="540" w:lineRule="exact"/>
        <w:rPr>
          <w:szCs w:val="32"/>
        </w:rPr>
      </w:pPr>
    </w:p>
    <w:p>
      <w:pPr>
        <w:keepNext w:val="0"/>
        <w:keepLines w:val="0"/>
        <w:pageBreakBefore w:val="0"/>
        <w:kinsoku/>
        <w:wordWrap/>
        <w:overflowPunct/>
        <w:topLinePunct w:val="0"/>
        <w:bidi w:val="0"/>
        <w:spacing w:line="540" w:lineRule="exact"/>
        <w:ind w:left="960" w:hanging="960" w:hangingChars="300"/>
        <w:rPr>
          <w:szCs w:val="32"/>
        </w:rPr>
      </w:pPr>
    </w:p>
    <w:p>
      <w:pPr>
        <w:keepNext w:val="0"/>
        <w:keepLines w:val="0"/>
        <w:pageBreakBefore w:val="0"/>
        <w:kinsoku/>
        <w:wordWrap/>
        <w:overflowPunct/>
        <w:topLinePunct w:val="0"/>
        <w:bidi w:val="0"/>
        <w:spacing w:line="540" w:lineRule="exact"/>
        <w:ind w:left="960" w:hanging="960" w:hangingChars="300"/>
      </w:pPr>
      <w:r>
        <w:rPr>
          <w:szCs w:val="32"/>
        </w:rPr>
        <w:t>抄送：连云港市赣榆生态环境局，连云港市赣榆区应急管理局，</w:t>
      </w:r>
      <w:r>
        <w:rPr>
          <w:rFonts w:hint="eastAsia"/>
          <w:szCs w:val="32"/>
          <w:lang w:eastAsia="zh-CN"/>
        </w:rPr>
        <w:t>墩尚</w:t>
      </w:r>
      <w:r>
        <w:rPr>
          <w:rFonts w:hint="eastAsia"/>
          <w:szCs w:val="32"/>
        </w:rPr>
        <w:t>镇</w:t>
      </w:r>
      <w:r>
        <w:rPr>
          <w:rFonts w:hint="eastAsia"/>
          <w:szCs w:val="32"/>
          <w:lang w:eastAsia="zh-CN"/>
        </w:rPr>
        <w:t>人民政府</w:t>
      </w:r>
      <w:r>
        <w:rPr>
          <w:szCs w:val="32"/>
        </w:rPr>
        <w:t>，</w:t>
      </w:r>
      <w:r>
        <w:rPr>
          <w:rFonts w:hint="eastAsia"/>
          <w:szCs w:val="32"/>
        </w:rPr>
        <w:t>南京大学环境规划设计研究院集团股份公司</w:t>
      </w:r>
      <w:r>
        <w:rPr>
          <w:szCs w:val="32"/>
        </w:rPr>
        <w:t>。</w:t>
      </w:r>
    </w:p>
    <w:sectPr>
      <w:headerReference r:id="rId5" w:type="default"/>
      <w:footerReference r:id="rId6" w:type="default"/>
      <w:footerReference r:id="rId7" w:type="even"/>
      <w:pgSz w:w="11906" w:h="16838"/>
      <w:pgMar w:top="1417" w:right="1361" w:bottom="1417" w:left="1587" w:header="851" w:footer="567" w:gutter="0"/>
      <w:pgNumType w:fmt="numberInDash"/>
      <w:cols w:space="720" w:num="1"/>
      <w:docGrid w:type="linesAndChars" w:linePitch="579" w:charSpace="-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w:t>
    </w:r>
    <w:r>
      <w:t xml:space="preserve"> 3 -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仿宋_GB2312"/>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仿宋_GB2312"/>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p>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YTkwOTFiZjFhNjI2OGRmODg0Yjc3NjAwN2ExMzQifQ=="/>
  </w:docVars>
  <w:rsids>
    <w:rsidRoot w:val="36816331"/>
    <w:rsid w:val="017A01EC"/>
    <w:rsid w:val="033D1AC1"/>
    <w:rsid w:val="03AC2338"/>
    <w:rsid w:val="06A569E2"/>
    <w:rsid w:val="07302358"/>
    <w:rsid w:val="07946EBC"/>
    <w:rsid w:val="0BD34D93"/>
    <w:rsid w:val="0C5307E4"/>
    <w:rsid w:val="0F2F74A2"/>
    <w:rsid w:val="0FD71317"/>
    <w:rsid w:val="10A6586B"/>
    <w:rsid w:val="124A5B8A"/>
    <w:rsid w:val="13A715B9"/>
    <w:rsid w:val="148E587B"/>
    <w:rsid w:val="159E3606"/>
    <w:rsid w:val="166A3206"/>
    <w:rsid w:val="181423AB"/>
    <w:rsid w:val="1A892245"/>
    <w:rsid w:val="1B8263CE"/>
    <w:rsid w:val="1E7F7F4E"/>
    <w:rsid w:val="20BD06A0"/>
    <w:rsid w:val="22005A70"/>
    <w:rsid w:val="227650FE"/>
    <w:rsid w:val="22C35E7E"/>
    <w:rsid w:val="2355445E"/>
    <w:rsid w:val="25487F6B"/>
    <w:rsid w:val="26DA2B2E"/>
    <w:rsid w:val="27C119A3"/>
    <w:rsid w:val="29915C17"/>
    <w:rsid w:val="2ADE65C2"/>
    <w:rsid w:val="2B672190"/>
    <w:rsid w:val="2C155C0E"/>
    <w:rsid w:val="2C9A0B2B"/>
    <w:rsid w:val="2DBE1F24"/>
    <w:rsid w:val="2E723709"/>
    <w:rsid w:val="2F6805CE"/>
    <w:rsid w:val="33B47BA0"/>
    <w:rsid w:val="33EF38C3"/>
    <w:rsid w:val="35BD3C5A"/>
    <w:rsid w:val="36816331"/>
    <w:rsid w:val="37E06F8A"/>
    <w:rsid w:val="3A0B0128"/>
    <w:rsid w:val="3A57363C"/>
    <w:rsid w:val="3ABE27DC"/>
    <w:rsid w:val="3BCE77FD"/>
    <w:rsid w:val="3D61703F"/>
    <w:rsid w:val="44567198"/>
    <w:rsid w:val="45B1127B"/>
    <w:rsid w:val="473324B4"/>
    <w:rsid w:val="47F96307"/>
    <w:rsid w:val="49A005B3"/>
    <w:rsid w:val="4A0E1017"/>
    <w:rsid w:val="4B7636DA"/>
    <w:rsid w:val="4C6A45BC"/>
    <w:rsid w:val="4E1C271E"/>
    <w:rsid w:val="4EE12AC4"/>
    <w:rsid w:val="4F0914BE"/>
    <w:rsid w:val="520420FD"/>
    <w:rsid w:val="543409DC"/>
    <w:rsid w:val="56910931"/>
    <w:rsid w:val="5A6F20DD"/>
    <w:rsid w:val="5A946E03"/>
    <w:rsid w:val="5BA75F0B"/>
    <w:rsid w:val="5C875FE4"/>
    <w:rsid w:val="60623A38"/>
    <w:rsid w:val="641C5DDB"/>
    <w:rsid w:val="6A5D19F8"/>
    <w:rsid w:val="6B0B3484"/>
    <w:rsid w:val="732D6D06"/>
    <w:rsid w:val="734748B3"/>
    <w:rsid w:val="736D0D10"/>
    <w:rsid w:val="73C03369"/>
    <w:rsid w:val="74C274C5"/>
    <w:rsid w:val="7A6A1F11"/>
    <w:rsid w:val="7A7C65BB"/>
    <w:rsid w:val="7B6D2971"/>
    <w:rsid w:val="7C6D43F4"/>
    <w:rsid w:val="7CE757B1"/>
    <w:rsid w:val="7ED66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仿宋_GB2312" w:cs="Times New Roman"/>
      <w:kern w:val="2"/>
      <w:sz w:val="32"/>
      <w:szCs w:val="24"/>
      <w:lang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heading"/>
    <w:basedOn w:val="1"/>
    <w:next w:val="1"/>
    <w:qFormat/>
    <w:uiPriority w:val="0"/>
    <w:rPr>
      <w:color w:val="auto"/>
      <w:kern w:val="2"/>
      <w:szCs w:val="20"/>
    </w:rPr>
  </w:style>
  <w:style w:type="paragraph" w:styleId="3">
    <w:name w:val="annotation text"/>
    <w:basedOn w:val="1"/>
    <w:semiHidden/>
    <w:qFormat/>
    <w:uiPriority w:val="0"/>
    <w:pPr>
      <w:jc w:val="left"/>
    </w:pPr>
    <w:rPr>
      <w:kern w:val="0"/>
      <w:sz w:val="24"/>
      <w:szCs w:val="20"/>
    </w:rPr>
  </w:style>
  <w:style w:type="paragraph" w:styleId="4">
    <w:name w:val="footer"/>
    <w:basedOn w:val="1"/>
    <w:qFormat/>
    <w:uiPriority w:val="99"/>
    <w:pPr>
      <w:tabs>
        <w:tab w:val="center" w:pos="4153"/>
        <w:tab w:val="right" w:pos="8306"/>
      </w:tabs>
      <w:snapToGrid w:val="0"/>
      <w:jc w:val="left"/>
    </w:pPr>
    <w:rPr>
      <w:rFonts w:eastAsia="宋体"/>
      <w:sz w:val="18"/>
      <w:szCs w:val="18"/>
      <w:lang w:val="en-US"/>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basedOn w:val="9"/>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10">
    <w:name w:val="Default1"/>
    <w:qFormat/>
    <w:uiPriority w:val="99"/>
    <w:pPr>
      <w:widowControl w:val="0"/>
      <w:autoSpaceDE w:val="0"/>
      <w:autoSpaceDN w:val="0"/>
      <w:adjustRightInd w:val="0"/>
      <w:spacing w:line="360" w:lineRule="atLeast"/>
      <w:jc w:val="both"/>
      <w:textAlignment w:val="baseline"/>
    </w:pPr>
    <w:rPr>
      <w:rFonts w:ascii="宋体" w:hAnsi="Times New Roman" w:eastAsia="Times New Roman" w:cs="Times New Roman"/>
      <w:color w:val="000000"/>
      <w:sz w:val="24"/>
      <w:szCs w:val="24"/>
      <w:lang w:eastAsia="zh-CN" w:bidi="ar-SA"/>
    </w:rPr>
  </w:style>
  <w:style w:type="paragraph" w:customStyle="1" w:styleId="11">
    <w:name w:val="paragraph text-align-type-justify pap-line-28pt pap-line-rule-exact pap-spacing-before-0pt pap-spacing-after-0p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样式2"/>
    <w:basedOn w:val="1"/>
    <w:qFormat/>
    <w:uiPriority w:val="0"/>
    <w:pPr>
      <w:tabs>
        <w:tab w:val="left" w:pos="7680"/>
      </w:tabs>
      <w:ind w:firstLine="640" w:firstLineChars="200"/>
    </w:pPr>
    <w:rPr>
      <w:rFonts w:ascii="仿宋" w:hAnsi="仿宋"/>
      <w:bCs/>
      <w:szCs w:val="32"/>
    </w:rPr>
  </w:style>
  <w:style w:type="paragraph" w:customStyle="1" w:styleId="13">
    <w:name w:val="宗兴正文"/>
    <w:basedOn w:val="1"/>
    <w:qFormat/>
    <w:uiPriority w:val="0"/>
    <w:pPr>
      <w:widowControl w:val="0"/>
      <w:spacing w:line="360" w:lineRule="auto"/>
      <w:ind w:firstLine="480" w:firstLineChars="200"/>
    </w:pPr>
    <w:rPr>
      <w:rFonts w:eastAsia="宋体"/>
      <w:kern w:val="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1817</Words>
  <Characters>2009</Characters>
  <Lines>0</Lines>
  <Paragraphs>0</Paragraphs>
  <TotalTime>0</TotalTime>
  <ScaleCrop>false</ScaleCrop>
  <LinksUpToDate>false</LinksUpToDate>
  <CharactersWithSpaces>2045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2022-10-25T02:47:00Z</dcterms:created>
  <dc:creator>元初</dc:creator>
  <cp:lastModifiedBy>Administrator</cp:lastModifiedBy>
  <cp:lastPrinted>2022-11-02T00:42:00Z</cp:lastPrinted>
  <dcterms:modified xsi:type="dcterms:W3CDTF">2023-03-01T10:42:04Z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4362E5F2E469437CB27D087BE3653EF8</vt:lpwstr>
  </property>
</Properties>
</file>